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61E5B">
            <w:pPr>
              <w:rPr>
                <w:rFonts w:eastAsia="SimSun"/>
                <w:b/>
                <w:lang w:eastAsia="zh-CN"/>
              </w:rPr>
            </w:pPr>
            <w:r w:rsidRPr="00EF3415">
              <w:rPr>
                <w:rFonts w:eastAsia="SimSun"/>
                <w:b/>
                <w:lang w:eastAsia="zh-CN"/>
              </w:rPr>
              <w:t xml:space="preserve">Candidate: </w:t>
            </w:r>
            <w:r>
              <w:rPr>
                <w:rFonts w:eastAsia="SimSun"/>
                <w:b/>
                <w:lang w:eastAsia="zh-CN"/>
              </w:rPr>
              <w:br/>
            </w:r>
            <w:r w:rsidR="00C61E5B">
              <w:rPr>
                <w:rFonts w:eastAsia="SimSun"/>
                <w:sz w:val="20"/>
                <w:szCs w:val="20"/>
                <w:lang w:eastAsia="zh-CN"/>
              </w:rPr>
              <w:t>Chris Rogers</w:t>
            </w:r>
          </w:p>
        </w:tc>
        <w:tc>
          <w:tcPr>
            <w:tcW w:w="3141" w:type="dxa"/>
          </w:tcPr>
          <w:p w:rsidR="00E66FA5" w:rsidRPr="00EF3415" w:rsidRDefault="00E66FA5" w:rsidP="00C61E5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61E5B">
              <w:rPr>
                <w:rFonts w:eastAsia="SimSun"/>
                <w:sz w:val="20"/>
                <w:szCs w:val="20"/>
                <w:lang w:eastAsia="zh-CN"/>
              </w:rPr>
              <w:t>Kathy Schmidt/Media Specialist</w:t>
            </w:r>
          </w:p>
        </w:tc>
        <w:tc>
          <w:tcPr>
            <w:tcW w:w="3223" w:type="dxa"/>
          </w:tcPr>
          <w:p w:rsidR="00E66FA5" w:rsidRPr="00EF3415" w:rsidRDefault="00E66FA5" w:rsidP="00C61E5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C61E5B">
              <w:rPr>
                <w:rFonts w:eastAsia="SimSun"/>
                <w:sz w:val="20"/>
                <w:szCs w:val="20"/>
                <w:lang w:eastAsia="zh-CN"/>
              </w:rPr>
              <w:t>Harbins</w:t>
            </w:r>
            <w:proofErr w:type="spellEnd"/>
            <w:r w:rsidR="00C61E5B">
              <w:rPr>
                <w:rFonts w:eastAsia="SimSun"/>
                <w:sz w:val="20"/>
                <w:szCs w:val="20"/>
                <w:lang w:eastAsia="zh-CN"/>
              </w:rPr>
              <w:t xml:space="preserve"> Elementary School / Gwinnett County</w:t>
            </w:r>
          </w:p>
        </w:tc>
      </w:tr>
      <w:tr w:rsidR="00E66FA5" w:rsidRPr="005F41F6" w:rsidTr="00B375E2">
        <w:trPr>
          <w:trHeight w:val="900"/>
          <w:jc w:val="center"/>
        </w:trPr>
        <w:tc>
          <w:tcPr>
            <w:tcW w:w="3305" w:type="dxa"/>
          </w:tcPr>
          <w:p w:rsidR="00E66FA5" w:rsidRPr="000B2932" w:rsidRDefault="00B375E2" w:rsidP="00C61E5B">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C61E5B">
              <w:rPr>
                <w:rFonts w:eastAsia="SimSun"/>
                <w:sz w:val="20"/>
                <w:szCs w:val="20"/>
                <w:lang w:eastAsia="zh-CN"/>
              </w:rPr>
              <w:t>Engaged Learning Project</w:t>
            </w:r>
          </w:p>
        </w:tc>
        <w:tc>
          <w:tcPr>
            <w:tcW w:w="3141" w:type="dxa"/>
          </w:tcPr>
          <w:p w:rsidR="00E66FA5" w:rsidRDefault="00E66FA5" w:rsidP="00C61E5B">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w:t>
            </w:r>
            <w:r w:rsidR="00C61E5B">
              <w:rPr>
                <w:rFonts w:eastAsia="SimSun"/>
                <w:sz w:val="20"/>
                <w:szCs w:val="20"/>
                <w:lang w:eastAsia="zh-CN"/>
              </w:rPr>
              <w:t>300 21</w:t>
            </w:r>
            <w:r w:rsidR="00C61E5B" w:rsidRPr="00C61E5B">
              <w:rPr>
                <w:rFonts w:eastAsia="SimSun"/>
                <w:sz w:val="20"/>
                <w:szCs w:val="20"/>
                <w:vertAlign w:val="superscript"/>
                <w:lang w:eastAsia="zh-CN"/>
              </w:rPr>
              <w:t>st</w:t>
            </w:r>
            <w:r w:rsidR="00C61E5B">
              <w:rPr>
                <w:rFonts w:eastAsia="SimSun"/>
                <w:sz w:val="20"/>
                <w:szCs w:val="20"/>
                <w:lang w:eastAsia="zh-CN"/>
              </w:rPr>
              <w:t xml:space="preserve"> Century Teaching and Learning</w:t>
            </w:r>
          </w:p>
        </w:tc>
        <w:tc>
          <w:tcPr>
            <w:tcW w:w="3223" w:type="dxa"/>
          </w:tcPr>
          <w:p w:rsidR="00E66FA5" w:rsidRDefault="00E66FA5" w:rsidP="00C61E5B">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C61E5B">
              <w:rPr>
                <w:rFonts w:eastAsia="SimSun"/>
                <w:sz w:val="20"/>
                <w:szCs w:val="20"/>
                <w:lang w:eastAsia="zh-CN"/>
              </w:rPr>
              <w:t>Kate Matthews / Fall 2014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C61E5B" w:rsidP="009343C4">
            <w:pPr>
              <w:jc w:val="center"/>
              <w:rPr>
                <w:rFonts w:eastAsia="SimSun"/>
                <w:b/>
                <w:sz w:val="20"/>
                <w:szCs w:val="20"/>
                <w:lang w:eastAsia="zh-CN"/>
              </w:rPr>
            </w:pPr>
            <w:r>
              <w:rPr>
                <w:rFonts w:eastAsia="SimSun"/>
                <w:sz w:val="20"/>
                <w:szCs w:val="20"/>
                <w:lang w:eastAsia="zh-CN"/>
              </w:rPr>
              <w:t>9/1/2014</w:t>
            </w:r>
          </w:p>
        </w:tc>
        <w:tc>
          <w:tcPr>
            <w:tcW w:w="4228" w:type="dxa"/>
          </w:tcPr>
          <w:p w:rsidR="008E438A" w:rsidRPr="00B405FD" w:rsidRDefault="00C61E5B" w:rsidP="00790169">
            <w:pPr>
              <w:rPr>
                <w:rFonts w:eastAsia="SimSun"/>
                <w:sz w:val="20"/>
                <w:szCs w:val="20"/>
                <w:lang w:eastAsia="zh-CN"/>
              </w:rPr>
            </w:pPr>
            <w:r>
              <w:rPr>
                <w:rFonts w:eastAsia="SimSun"/>
                <w:sz w:val="20"/>
                <w:szCs w:val="20"/>
                <w:lang w:eastAsia="zh-CN"/>
              </w:rPr>
              <w:t>Planned blogging professional learning for all school staff [2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A34336">
              <w:rPr>
                <w:rFonts w:eastAsia="SimSun"/>
                <w:sz w:val="20"/>
                <w:szCs w:val="20"/>
                <w:lang w:eastAsia="zh-CN"/>
              </w:rPr>
              <w:t>1.4, 5.2</w:t>
            </w:r>
          </w:p>
        </w:tc>
        <w:tc>
          <w:tcPr>
            <w:tcW w:w="2612" w:type="dxa"/>
          </w:tcPr>
          <w:p w:rsidR="008E438A" w:rsidRPr="008E438A" w:rsidRDefault="008E438A" w:rsidP="009343C4">
            <w:pPr>
              <w:jc w:val="center"/>
              <w:rPr>
                <w:rFonts w:eastAsia="SimSun"/>
                <w:sz w:val="20"/>
                <w:szCs w:val="20"/>
                <w:lang w:eastAsia="zh-CN"/>
              </w:rPr>
            </w:pPr>
            <w:r>
              <w:rPr>
                <w:rFonts w:eastAsia="SimSun"/>
                <w:sz w:val="20"/>
                <w:szCs w:val="20"/>
                <w:lang w:eastAsia="zh-CN"/>
              </w:rPr>
              <w:t xml:space="preserve">ISTE </w:t>
            </w:r>
            <w:r w:rsidR="00E270D3">
              <w:rPr>
                <w:rFonts w:eastAsia="SimSun"/>
                <w:sz w:val="20"/>
                <w:szCs w:val="20"/>
                <w:lang w:eastAsia="zh-CN"/>
              </w:rPr>
              <w:t>1a, 1b, 3f</w:t>
            </w:r>
          </w:p>
        </w:tc>
      </w:tr>
      <w:tr w:rsidR="008E438A" w:rsidRPr="00B405FD" w:rsidTr="008E438A">
        <w:trPr>
          <w:trHeight w:val="402"/>
          <w:jc w:val="center"/>
        </w:trPr>
        <w:tc>
          <w:tcPr>
            <w:tcW w:w="1402" w:type="dxa"/>
          </w:tcPr>
          <w:p w:rsidR="008E438A" w:rsidRPr="00B405FD" w:rsidRDefault="009343C4" w:rsidP="00B405FD">
            <w:pPr>
              <w:jc w:val="center"/>
              <w:rPr>
                <w:rFonts w:eastAsia="SimSun"/>
                <w:sz w:val="20"/>
                <w:szCs w:val="20"/>
                <w:lang w:eastAsia="zh-CN"/>
              </w:rPr>
            </w:pPr>
            <w:r>
              <w:rPr>
                <w:rFonts w:eastAsia="SimSun"/>
                <w:sz w:val="20"/>
                <w:szCs w:val="20"/>
                <w:lang w:eastAsia="zh-CN"/>
              </w:rPr>
              <w:t>9/3/2014</w:t>
            </w:r>
          </w:p>
        </w:tc>
        <w:tc>
          <w:tcPr>
            <w:tcW w:w="4228" w:type="dxa"/>
          </w:tcPr>
          <w:p w:rsidR="008E438A" w:rsidRPr="00B405FD" w:rsidRDefault="00C61E5B" w:rsidP="00790169">
            <w:pPr>
              <w:rPr>
                <w:rFonts w:eastAsia="SimSun"/>
                <w:sz w:val="20"/>
                <w:szCs w:val="20"/>
                <w:lang w:eastAsia="zh-CN"/>
              </w:rPr>
            </w:pPr>
            <w:r>
              <w:rPr>
                <w:rFonts w:eastAsia="SimSun"/>
                <w:sz w:val="20"/>
                <w:szCs w:val="20"/>
                <w:lang w:eastAsia="zh-CN"/>
              </w:rPr>
              <w:t>Delivered blogging professional learning for all school staff [5 hours]</w:t>
            </w:r>
          </w:p>
        </w:tc>
        <w:tc>
          <w:tcPr>
            <w:tcW w:w="2774" w:type="dxa"/>
          </w:tcPr>
          <w:p w:rsidR="008E438A" w:rsidRPr="00B405FD" w:rsidRDefault="008E438A" w:rsidP="00A34336">
            <w:pPr>
              <w:jc w:val="center"/>
              <w:rPr>
                <w:rFonts w:eastAsia="SimSun"/>
                <w:sz w:val="20"/>
                <w:szCs w:val="20"/>
                <w:lang w:eastAsia="zh-CN"/>
              </w:rPr>
            </w:pPr>
            <w:r w:rsidRPr="002F6616">
              <w:rPr>
                <w:rFonts w:eastAsia="SimSun"/>
                <w:sz w:val="20"/>
                <w:szCs w:val="20"/>
                <w:lang w:eastAsia="zh-CN"/>
              </w:rPr>
              <w:t xml:space="preserve">PSC </w:t>
            </w:r>
            <w:r w:rsidR="00A34336">
              <w:rPr>
                <w:rFonts w:eastAsia="SimSun"/>
                <w:sz w:val="20"/>
                <w:szCs w:val="20"/>
                <w:lang w:eastAsia="zh-CN"/>
              </w:rPr>
              <w:t>5.</w:t>
            </w:r>
            <w:r w:rsidR="0037338D">
              <w:rPr>
                <w:rFonts w:eastAsia="SimSun"/>
                <w:sz w:val="20"/>
                <w:szCs w:val="20"/>
                <w:lang w:eastAsia="zh-CN"/>
              </w:rPr>
              <w:t>1, 5.2</w:t>
            </w:r>
          </w:p>
        </w:tc>
        <w:tc>
          <w:tcPr>
            <w:tcW w:w="2612" w:type="dxa"/>
          </w:tcPr>
          <w:p w:rsidR="008E438A" w:rsidRPr="002F6616" w:rsidRDefault="008E438A" w:rsidP="0037338D">
            <w:pPr>
              <w:jc w:val="center"/>
              <w:rPr>
                <w:rFonts w:eastAsia="SimSun"/>
                <w:sz w:val="20"/>
                <w:szCs w:val="20"/>
                <w:lang w:eastAsia="zh-CN"/>
              </w:rPr>
            </w:pPr>
            <w:r>
              <w:rPr>
                <w:rFonts w:eastAsia="SimSun"/>
                <w:sz w:val="20"/>
                <w:szCs w:val="20"/>
                <w:lang w:eastAsia="zh-CN"/>
              </w:rPr>
              <w:t xml:space="preserve">ISTE </w:t>
            </w:r>
            <w:r w:rsidR="0037338D">
              <w:rPr>
                <w:rFonts w:eastAsia="SimSun"/>
                <w:sz w:val="20"/>
                <w:szCs w:val="20"/>
                <w:lang w:eastAsia="zh-CN"/>
              </w:rPr>
              <w:t>4a, 4b, 4c</w:t>
            </w:r>
          </w:p>
        </w:tc>
      </w:tr>
      <w:tr w:rsidR="008E438A" w:rsidRPr="00B405FD" w:rsidTr="008E438A">
        <w:trPr>
          <w:trHeight w:val="402"/>
          <w:jc w:val="center"/>
        </w:trPr>
        <w:tc>
          <w:tcPr>
            <w:tcW w:w="1402" w:type="dxa"/>
          </w:tcPr>
          <w:p w:rsidR="008E438A" w:rsidRPr="00B405FD" w:rsidRDefault="009343C4" w:rsidP="00B405FD">
            <w:pPr>
              <w:jc w:val="center"/>
              <w:rPr>
                <w:rFonts w:eastAsia="SimSun"/>
                <w:sz w:val="20"/>
                <w:szCs w:val="20"/>
                <w:lang w:eastAsia="zh-CN"/>
              </w:rPr>
            </w:pPr>
            <w:r>
              <w:rPr>
                <w:rFonts w:eastAsia="SimSun"/>
                <w:sz w:val="20"/>
                <w:szCs w:val="20"/>
                <w:lang w:eastAsia="zh-CN"/>
              </w:rPr>
              <w:t>9/17/14 – 10/24/14</w:t>
            </w:r>
          </w:p>
        </w:tc>
        <w:tc>
          <w:tcPr>
            <w:tcW w:w="4228" w:type="dxa"/>
          </w:tcPr>
          <w:p w:rsidR="008E438A" w:rsidRPr="00B405FD" w:rsidRDefault="00C61E5B" w:rsidP="00C61E5B">
            <w:pPr>
              <w:rPr>
                <w:rFonts w:eastAsia="SimSun"/>
                <w:sz w:val="20"/>
                <w:szCs w:val="20"/>
                <w:lang w:eastAsia="zh-CN"/>
              </w:rPr>
            </w:pPr>
            <w:r>
              <w:rPr>
                <w:rFonts w:eastAsia="SimSun"/>
                <w:sz w:val="20"/>
                <w:szCs w:val="20"/>
                <w:lang w:eastAsia="zh-CN"/>
              </w:rPr>
              <w:t>Coaching lessons 1</w:t>
            </w:r>
            <w:r w:rsidRPr="00C61E5B">
              <w:rPr>
                <w:rFonts w:eastAsia="SimSun"/>
                <w:sz w:val="20"/>
                <w:szCs w:val="20"/>
                <w:vertAlign w:val="superscript"/>
                <w:lang w:eastAsia="zh-CN"/>
              </w:rPr>
              <w:t>st</w:t>
            </w:r>
            <w:r>
              <w:rPr>
                <w:rFonts w:eastAsia="SimSun"/>
                <w:sz w:val="20"/>
                <w:szCs w:val="20"/>
                <w:lang w:eastAsia="zh-CN"/>
              </w:rPr>
              <w:t xml:space="preserve"> Grade class – written conversations, commenting, making posts [5 hours] </w:t>
            </w:r>
          </w:p>
        </w:tc>
        <w:tc>
          <w:tcPr>
            <w:tcW w:w="2774" w:type="dxa"/>
          </w:tcPr>
          <w:p w:rsidR="008E438A" w:rsidRPr="00B405FD" w:rsidRDefault="008E438A" w:rsidP="0037338D">
            <w:pPr>
              <w:jc w:val="center"/>
              <w:rPr>
                <w:rFonts w:eastAsia="SimSun"/>
                <w:sz w:val="20"/>
                <w:szCs w:val="20"/>
                <w:lang w:eastAsia="zh-CN"/>
              </w:rPr>
            </w:pPr>
            <w:r w:rsidRPr="002F6616">
              <w:rPr>
                <w:rFonts w:eastAsia="SimSun"/>
                <w:sz w:val="20"/>
                <w:szCs w:val="20"/>
                <w:lang w:eastAsia="zh-CN"/>
              </w:rPr>
              <w:t>PSC 2.1, 2.</w:t>
            </w:r>
            <w:r w:rsidR="0037338D">
              <w:rPr>
                <w:rFonts w:eastAsia="SimSun"/>
                <w:sz w:val="20"/>
                <w:szCs w:val="20"/>
                <w:lang w:eastAsia="zh-CN"/>
              </w:rPr>
              <w:t>2, 2.3, 2.5, 2.6, 3.1, 3.2, 3.7</w:t>
            </w:r>
          </w:p>
        </w:tc>
        <w:tc>
          <w:tcPr>
            <w:tcW w:w="2612" w:type="dxa"/>
          </w:tcPr>
          <w:p w:rsidR="008E438A" w:rsidRPr="002F6616" w:rsidRDefault="008E438A" w:rsidP="0037338D">
            <w:pPr>
              <w:jc w:val="center"/>
              <w:rPr>
                <w:rFonts w:eastAsia="SimSun"/>
                <w:sz w:val="20"/>
                <w:szCs w:val="20"/>
                <w:lang w:eastAsia="zh-CN"/>
              </w:rPr>
            </w:pPr>
            <w:r>
              <w:rPr>
                <w:rFonts w:eastAsia="SimSun"/>
                <w:sz w:val="20"/>
                <w:szCs w:val="20"/>
                <w:lang w:eastAsia="zh-CN"/>
              </w:rPr>
              <w:t xml:space="preserve">ISTE 2a, </w:t>
            </w:r>
            <w:r w:rsidR="0037338D">
              <w:rPr>
                <w:rFonts w:eastAsia="SimSun"/>
                <w:sz w:val="20"/>
                <w:szCs w:val="20"/>
                <w:lang w:eastAsia="zh-CN"/>
              </w:rPr>
              <w:t>2b, 2c. 2e, 2f, 3a, 3b, 3g</w:t>
            </w:r>
          </w:p>
        </w:tc>
      </w:tr>
      <w:tr w:rsidR="008E438A" w:rsidRPr="00B405FD" w:rsidTr="008E438A">
        <w:trPr>
          <w:trHeight w:val="402"/>
          <w:jc w:val="center"/>
        </w:trPr>
        <w:tc>
          <w:tcPr>
            <w:tcW w:w="1402" w:type="dxa"/>
          </w:tcPr>
          <w:p w:rsidR="008E438A" w:rsidRPr="00B405FD" w:rsidRDefault="009343C4" w:rsidP="00B405FD">
            <w:pPr>
              <w:jc w:val="center"/>
              <w:rPr>
                <w:rFonts w:eastAsia="SimSun"/>
                <w:sz w:val="20"/>
                <w:szCs w:val="20"/>
                <w:lang w:eastAsia="zh-CN"/>
              </w:rPr>
            </w:pPr>
            <w:r>
              <w:rPr>
                <w:rFonts w:eastAsia="SimSun"/>
                <w:sz w:val="20"/>
                <w:szCs w:val="20"/>
                <w:lang w:eastAsia="zh-CN"/>
              </w:rPr>
              <w:t>11/2</w:t>
            </w:r>
            <w:r w:rsidR="008E438A">
              <w:rPr>
                <w:rFonts w:eastAsia="SimSun"/>
                <w:sz w:val="20"/>
                <w:szCs w:val="20"/>
                <w:lang w:eastAsia="zh-CN"/>
              </w:rPr>
              <w:t>/1</w:t>
            </w:r>
            <w:r>
              <w:rPr>
                <w:rFonts w:eastAsia="SimSun"/>
                <w:sz w:val="20"/>
                <w:szCs w:val="20"/>
                <w:lang w:eastAsia="zh-CN"/>
              </w:rPr>
              <w:t>4</w:t>
            </w:r>
          </w:p>
        </w:tc>
        <w:tc>
          <w:tcPr>
            <w:tcW w:w="4228" w:type="dxa"/>
          </w:tcPr>
          <w:p w:rsidR="008E438A" w:rsidRPr="00B405FD" w:rsidRDefault="00C61E5B" w:rsidP="001D556B">
            <w:pPr>
              <w:rPr>
                <w:rFonts w:eastAsia="SimSun"/>
                <w:sz w:val="20"/>
                <w:szCs w:val="20"/>
                <w:lang w:eastAsia="zh-CN"/>
              </w:rPr>
            </w:pPr>
            <w:proofErr w:type="spellStart"/>
            <w:r>
              <w:rPr>
                <w:rFonts w:eastAsia="SimSun"/>
                <w:sz w:val="20"/>
                <w:szCs w:val="20"/>
                <w:lang w:eastAsia="zh-CN"/>
              </w:rPr>
              <w:t>Planned,evaluated</w:t>
            </w:r>
            <w:proofErr w:type="spellEnd"/>
            <w:r>
              <w:rPr>
                <w:rFonts w:eastAsia="SimSun"/>
                <w:sz w:val="20"/>
                <w:szCs w:val="20"/>
                <w:lang w:eastAsia="zh-CN"/>
              </w:rPr>
              <w:t xml:space="preserve">, and modified the </w:t>
            </w:r>
            <w:proofErr w:type="spellStart"/>
            <w:r>
              <w:rPr>
                <w:rFonts w:eastAsia="SimSun"/>
                <w:sz w:val="20"/>
                <w:szCs w:val="20"/>
                <w:lang w:eastAsia="zh-CN"/>
              </w:rPr>
              <w:t>Quadblogging</w:t>
            </w:r>
            <w:proofErr w:type="spellEnd"/>
            <w:r>
              <w:rPr>
                <w:rFonts w:eastAsia="SimSun"/>
                <w:sz w:val="20"/>
                <w:szCs w:val="20"/>
                <w:lang w:eastAsia="zh-CN"/>
              </w:rPr>
              <w:t xml:space="preserve"> </w:t>
            </w:r>
            <w:r w:rsidR="0037338D">
              <w:rPr>
                <w:rFonts w:eastAsia="SimSun"/>
                <w:sz w:val="20"/>
                <w:szCs w:val="20"/>
                <w:lang w:eastAsia="zh-CN"/>
              </w:rPr>
              <w:t xml:space="preserve">Engaged Learning </w:t>
            </w:r>
            <w:r>
              <w:rPr>
                <w:rFonts w:eastAsia="SimSun"/>
                <w:sz w:val="20"/>
                <w:szCs w:val="20"/>
                <w:lang w:eastAsia="zh-CN"/>
              </w:rPr>
              <w:t>project [3 hours]</w:t>
            </w:r>
          </w:p>
        </w:tc>
        <w:tc>
          <w:tcPr>
            <w:tcW w:w="2774" w:type="dxa"/>
          </w:tcPr>
          <w:p w:rsidR="008E438A" w:rsidRPr="00B405FD" w:rsidRDefault="008E438A" w:rsidP="0037338D">
            <w:pPr>
              <w:jc w:val="center"/>
              <w:rPr>
                <w:rFonts w:eastAsia="SimSun"/>
                <w:sz w:val="20"/>
                <w:szCs w:val="20"/>
                <w:lang w:eastAsia="zh-CN"/>
              </w:rPr>
            </w:pPr>
            <w:r w:rsidRPr="002F6616">
              <w:rPr>
                <w:rFonts w:eastAsia="SimSun"/>
                <w:sz w:val="20"/>
                <w:szCs w:val="20"/>
                <w:lang w:eastAsia="zh-CN"/>
              </w:rPr>
              <w:t xml:space="preserve">PSC </w:t>
            </w:r>
            <w:r w:rsidR="0037338D">
              <w:rPr>
                <w:rFonts w:eastAsia="SimSun"/>
                <w:sz w:val="20"/>
                <w:szCs w:val="20"/>
                <w:lang w:eastAsia="zh-CN"/>
              </w:rPr>
              <w:t>3.6, 4.3, 6.3</w:t>
            </w:r>
          </w:p>
        </w:tc>
        <w:tc>
          <w:tcPr>
            <w:tcW w:w="2612" w:type="dxa"/>
          </w:tcPr>
          <w:p w:rsidR="008E438A" w:rsidRPr="002F6616" w:rsidRDefault="008E438A" w:rsidP="0037338D">
            <w:pPr>
              <w:jc w:val="center"/>
              <w:rPr>
                <w:rFonts w:eastAsia="SimSun"/>
                <w:sz w:val="20"/>
                <w:szCs w:val="20"/>
                <w:lang w:eastAsia="zh-CN"/>
              </w:rPr>
            </w:pPr>
            <w:r>
              <w:rPr>
                <w:rFonts w:eastAsia="SimSun"/>
                <w:sz w:val="20"/>
                <w:szCs w:val="20"/>
                <w:lang w:eastAsia="zh-CN"/>
              </w:rPr>
              <w:t xml:space="preserve">ISTE </w:t>
            </w:r>
            <w:r w:rsidR="0037338D">
              <w:rPr>
                <w:rFonts w:eastAsia="SimSun"/>
                <w:sz w:val="20"/>
                <w:szCs w:val="20"/>
                <w:lang w:eastAsia="zh-CN"/>
              </w:rPr>
              <w:t>3g, 6b, 6c</w:t>
            </w:r>
          </w:p>
        </w:tc>
      </w:tr>
      <w:tr w:rsidR="008E438A" w:rsidRPr="00B405FD" w:rsidTr="008E438A">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8E438A" w:rsidRPr="005F41F6" w:rsidRDefault="009343C4" w:rsidP="00210604">
            <w:pPr>
              <w:rPr>
                <w:rFonts w:eastAsia="SimSun"/>
                <w:sz w:val="20"/>
                <w:szCs w:val="20"/>
                <w:lang w:eastAsia="zh-CN"/>
              </w:rPr>
            </w:pPr>
            <w:r>
              <w:rPr>
                <w:rFonts w:eastAsia="SimSun"/>
                <w:sz w:val="20"/>
                <w:szCs w:val="20"/>
                <w:lang w:eastAsia="zh-CN"/>
              </w:rPr>
              <w:t>15 hours</w:t>
            </w: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343C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37338D" w:rsidRDefault="009572D4" w:rsidP="00B2109C">
            <w:pPr>
              <w:rPr>
                <w:rFonts w:eastAsia="SimSun"/>
                <w:lang w:eastAsia="zh-CN"/>
              </w:rPr>
            </w:pPr>
            <w:r>
              <w:rPr>
                <w:rFonts w:eastAsia="SimSun"/>
                <w:lang w:eastAsia="zh-CN"/>
              </w:rPr>
              <w:t xml:space="preserve">Through the process of professional learning, coaching, reflection, and refinement, I have learned how to help teachers use blogs, LMS discussion boards, and other tools to facilitate written conversations between students. I learned that it’s important to differentiate the experience for adult learners, and that technology coaching is a great way to do that. Pre-conferencing and post-conferencing are a big part of a successful coaching lesson. Through planning the EL </w:t>
            </w:r>
            <w:proofErr w:type="spellStart"/>
            <w:r>
              <w:rPr>
                <w:rFonts w:eastAsia="SimSun"/>
                <w:lang w:eastAsia="zh-CN"/>
              </w:rPr>
              <w:t>Quadblogging</w:t>
            </w:r>
            <w:proofErr w:type="spellEnd"/>
            <w:r>
              <w:rPr>
                <w:rFonts w:eastAsia="SimSun"/>
                <w:lang w:eastAsia="zh-CN"/>
              </w:rPr>
              <w:t xml:space="preserve"> project, I learned that I can rely upon my social networks like Twitter to easily find teachers willing to cooperate in globally-connected projects.</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9572D4" w:rsidRDefault="009572D4" w:rsidP="00B2109C">
            <w:pPr>
              <w:rPr>
                <w:rFonts w:eastAsia="SimSun"/>
                <w:lang w:eastAsia="zh-CN"/>
              </w:rPr>
            </w:pPr>
            <w:r>
              <w:rPr>
                <w:rFonts w:eastAsia="SimSun"/>
                <w:lang w:eastAsia="zh-CN"/>
              </w:rPr>
              <w:t xml:space="preserve">Teachers and technology coaches must understand what students need to be successful, and this field experience helped me realize that starting with the why (students need to participate in meaningful written conversations) instead of the what (we used </w:t>
            </w:r>
            <w:proofErr w:type="spellStart"/>
            <w:r>
              <w:rPr>
                <w:rFonts w:eastAsia="SimSun"/>
                <w:lang w:eastAsia="zh-CN"/>
              </w:rPr>
              <w:t>Kidblog</w:t>
            </w:r>
            <w:proofErr w:type="spellEnd"/>
            <w:r>
              <w:rPr>
                <w:rFonts w:eastAsia="SimSun"/>
                <w:lang w:eastAsia="zh-CN"/>
              </w:rPr>
              <w:t>) or the how (we’ll start by learning how to comment, etc.) helped teachers and students buy in to blogging as a meaningful learning activity.</w:t>
            </w:r>
            <w:r w:rsidR="00E75F59">
              <w:rPr>
                <w:rFonts w:eastAsia="SimSun"/>
                <w:lang w:eastAsia="zh-CN"/>
              </w:rPr>
              <w:t xml:space="preserve"> I refined coaching teachers through professional learning and in-class modeling, even when things didn’t go as planned. I was able to model for teachers how to calmly change gears, even during a lesson involving technology gone awry! These experiences strengthen my resolve to lead by doing as a technology leader, to make sure that I spend most of my time in classrooms and talking to teachers to determine the success of our technology program.</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E75F59" w:rsidRDefault="00E75F59" w:rsidP="00B2109C">
            <w:pPr>
              <w:rPr>
                <w:rFonts w:eastAsia="SimSun"/>
                <w:lang w:eastAsia="zh-CN"/>
              </w:rPr>
            </w:pPr>
            <w:r>
              <w:rPr>
                <w:rFonts w:eastAsia="SimSun"/>
                <w:lang w:eastAsia="zh-CN"/>
              </w:rPr>
              <w:t>Through this experience, our school has embraced blogging as a way to connect students to each other and to a wider audience. Teachers have been able to draw from the successes of their colleagues and implement something that they chose to do, not something that was mandated from the top-down. The impact of this work will be measured through a school-developed technology continuum based on the ISTE-T standards, spe</w:t>
            </w:r>
            <w:r w:rsidR="00491CF9">
              <w:rPr>
                <w:rFonts w:eastAsia="SimSun"/>
                <w:lang w:eastAsia="zh-CN"/>
              </w:rPr>
              <w:t xml:space="preserve">cifically the communication and collaboration category. Teachers mark themselves on a continuum (Advanced, Proficient, Developing, </w:t>
            </w:r>
            <w:proofErr w:type="gramStart"/>
            <w:r w:rsidR="00491CF9">
              <w:rPr>
                <w:rFonts w:eastAsia="SimSun"/>
                <w:lang w:eastAsia="zh-CN"/>
              </w:rPr>
              <w:t>Beginning</w:t>
            </w:r>
            <w:proofErr w:type="gramEnd"/>
            <w:r w:rsidR="00491CF9">
              <w:rPr>
                <w:rFonts w:eastAsia="SimSun"/>
                <w:lang w:eastAsia="zh-CN"/>
              </w:rPr>
              <w:t>) at the beginning, middle, and end of the school year. I hope to see a growth of 1 category or more for each teacher in the Communication &amp; Collaboration category.</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bookmarkStart w:id="0" w:name="_GoBack"/>
            <w:bookmarkEnd w:id="0"/>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7338D"/>
    <w:rsid w:val="00394840"/>
    <w:rsid w:val="003F4EDD"/>
    <w:rsid w:val="00404B8B"/>
    <w:rsid w:val="00412994"/>
    <w:rsid w:val="00462CF2"/>
    <w:rsid w:val="00476565"/>
    <w:rsid w:val="00491CF9"/>
    <w:rsid w:val="004952FD"/>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43C4"/>
    <w:rsid w:val="009352BF"/>
    <w:rsid w:val="009572D4"/>
    <w:rsid w:val="009A3BA3"/>
    <w:rsid w:val="009A4AAE"/>
    <w:rsid w:val="00A06832"/>
    <w:rsid w:val="00A34336"/>
    <w:rsid w:val="00A63F92"/>
    <w:rsid w:val="00A84BFD"/>
    <w:rsid w:val="00AF524A"/>
    <w:rsid w:val="00B20E86"/>
    <w:rsid w:val="00B2109C"/>
    <w:rsid w:val="00B31458"/>
    <w:rsid w:val="00B31B25"/>
    <w:rsid w:val="00B375E2"/>
    <w:rsid w:val="00B405FD"/>
    <w:rsid w:val="00B4064E"/>
    <w:rsid w:val="00B477E3"/>
    <w:rsid w:val="00B5393D"/>
    <w:rsid w:val="00C138D6"/>
    <w:rsid w:val="00C61E5B"/>
    <w:rsid w:val="00C64054"/>
    <w:rsid w:val="00C744C3"/>
    <w:rsid w:val="00CA56C5"/>
    <w:rsid w:val="00CB1F5E"/>
    <w:rsid w:val="00CC5442"/>
    <w:rsid w:val="00CD2660"/>
    <w:rsid w:val="00CF0C47"/>
    <w:rsid w:val="00D31C2A"/>
    <w:rsid w:val="00D942CA"/>
    <w:rsid w:val="00DE0903"/>
    <w:rsid w:val="00DE1726"/>
    <w:rsid w:val="00DF5ADD"/>
    <w:rsid w:val="00E270D3"/>
    <w:rsid w:val="00E6669F"/>
    <w:rsid w:val="00E66FA5"/>
    <w:rsid w:val="00E75E6B"/>
    <w:rsid w:val="00E75F59"/>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2</cp:revision>
  <cp:lastPrinted>2011-08-08T20:50:00Z</cp:lastPrinted>
  <dcterms:created xsi:type="dcterms:W3CDTF">2014-12-02T02:47:00Z</dcterms:created>
  <dcterms:modified xsi:type="dcterms:W3CDTF">2014-12-02T02:47:00Z</dcterms:modified>
</cp:coreProperties>
</file>